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0"/>
          <w:szCs w:val="30"/>
        </w:rPr>
        <w:t>-202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0"/>
          <w:szCs w:val="30"/>
        </w:rPr>
        <w:t>学年课程情况</w:t>
      </w:r>
    </w:p>
    <w:p>
      <w:pPr>
        <w:ind w:firstLine="600" w:firstLineChars="200"/>
        <w:jc w:val="left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2022-2023学年，</w:t>
      </w:r>
      <w:r>
        <w:rPr>
          <w:rFonts w:hint="eastAsia" w:ascii="仿宋" w:hAnsi="仿宋" w:eastAsia="仿宋" w:cs="仿宋"/>
          <w:sz w:val="30"/>
          <w:szCs w:val="30"/>
        </w:rPr>
        <w:t>全校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共计</w:t>
      </w:r>
      <w:r>
        <w:rPr>
          <w:rFonts w:hint="eastAsia" w:ascii="仿宋" w:hAnsi="仿宋" w:eastAsia="仿宋" w:cs="仿宋"/>
          <w:sz w:val="30"/>
          <w:szCs w:val="30"/>
        </w:rPr>
        <w:t>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出</w:t>
      </w:r>
      <w:r>
        <w:rPr>
          <w:rFonts w:hint="eastAsia" w:ascii="仿宋" w:hAnsi="仿宋" w:eastAsia="仿宋" w:cs="仿宋"/>
          <w:sz w:val="30"/>
          <w:szCs w:val="30"/>
        </w:rPr>
        <w:t>课程总门数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1782</w:t>
      </w:r>
      <w:r>
        <w:rPr>
          <w:rFonts w:hint="eastAsia" w:ascii="仿宋" w:hAnsi="仿宋" w:eastAsia="仿宋" w:cs="仿宋"/>
          <w:sz w:val="30"/>
          <w:szCs w:val="30"/>
        </w:rPr>
        <w:t>门。选修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课学分占总学分比例（按学科门类、专业）（按学科门类统计参见表）</w:t>
      </w:r>
    </w:p>
    <w:tbl>
      <w:tblPr>
        <w:tblStyle w:val="4"/>
        <w:tblW w:w="10380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46"/>
        <w:gridCol w:w="663"/>
        <w:gridCol w:w="1034"/>
        <w:gridCol w:w="876"/>
        <w:gridCol w:w="876"/>
        <w:gridCol w:w="876"/>
        <w:gridCol w:w="1033"/>
        <w:gridCol w:w="1341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附表 各专业人才培养方案学时、学分情况（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专业代码</w:t>
            </w:r>
          </w:p>
        </w:tc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专业名称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学时数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总数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其中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其中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总数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必修课占比（%）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选修课占比（%）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理论教学占比（%）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实验教学占比（%）</w:t>
            </w: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必修课占比（%）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选修课占比（%）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080902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16.89%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84.91%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15.09%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78.24%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080901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83.21%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16.79%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83.45%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16.55%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080717T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19.95%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080905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84.40%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15.60%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78.55%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21.45%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79.94%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080910T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83.53%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80.52%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19.48%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080701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82.82%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17.18%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80.84%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19.16%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080202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82.36%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81.09%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18.91%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080204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82.54%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80.18%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19.82%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080803T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82.54%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80.18%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19.82%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080213T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16.84%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83.40%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16.60%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84.66%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070503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82.62%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17.38%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72.89%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27.11%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85.29%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081001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77.76%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22.24%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15.75%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79.31%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082502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83.96%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16.04%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15.78%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86.47%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120103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17.53%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85.88%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120105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81.15%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18.85%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85.88%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081004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82.01%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17.99%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82.42%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17.58%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78.17%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21.86%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21.86%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75.29%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120601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83.05%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16.95%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87.94%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12.06%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78.76%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120203K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83.26%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16.74%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21.53%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120201K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77.69%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22.31%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86.87%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13.13%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83.08%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16.92%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76.21%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23.79%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78.43%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21.57%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79.44%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20.56%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81.18%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020401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75.92%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24.08%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17.20%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79.53%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020303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76.06%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23.94%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83.46%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16.54%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79.25%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020301K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82.48%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17.52%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80.88%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19.12%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85.06%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120801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81.68%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18.32%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80.66%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19.34%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78.24%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020304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80.61%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19.39%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78.96%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21.04%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83.82%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020309T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21.87%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78.04%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21.96%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75.29%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020109T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84.97%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15.03%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75.88%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050101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78.58%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21.42%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87.28%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12.72%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80.66%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050306T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18.20%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70.78%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29.22%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050201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16.84%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75.38%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24.62%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84.29%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050262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82.59%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77.91%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22.09%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84.10%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040107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77.39%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22.61%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84.04%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15.96%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79.33%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030101K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78.46%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21.54%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10.53%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82.35%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120402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83.38%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16.62%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14.20%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85.45%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030302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80.69%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19.31%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87.45%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12.55%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82.35%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130301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80.58%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19.42%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70.87%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29.13%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130201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82.65%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17.35%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74.81%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25.19%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130206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16.90%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71.08%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28.92%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85.06%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130508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19.53%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61.81%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38.19%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83.48%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130502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79.77%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20.23%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58.15%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41.85%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76.99%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080205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79.84%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20.16%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68.03%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31.97%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82.53%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130503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81.00%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19.00%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61.83%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38.17%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83.86%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130504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79.77%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20.23%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64.43%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35.57%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82.89%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17.11%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1YjA4YmU2YWQ4ZWUxNTIyZTE0MTc2MjQ0OGUifQ=="/>
  </w:docVars>
  <w:rsids>
    <w:rsidRoot w:val="2E660676"/>
    <w:rsid w:val="00285DA5"/>
    <w:rsid w:val="0050782A"/>
    <w:rsid w:val="00575EB4"/>
    <w:rsid w:val="007C1DA5"/>
    <w:rsid w:val="00933724"/>
    <w:rsid w:val="00EE68DC"/>
    <w:rsid w:val="0C8C2518"/>
    <w:rsid w:val="2E660676"/>
    <w:rsid w:val="2F34630E"/>
    <w:rsid w:val="6D535020"/>
    <w:rsid w:val="6E927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Calibri" w:hAnsi="Calibri" w:cs="Calibri"/>
      <w:color w:val="0000F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447</Words>
  <Characters>2549</Characters>
  <Lines>21</Lines>
  <Paragraphs>5</Paragraphs>
  <TotalTime>19</TotalTime>
  <ScaleCrop>false</ScaleCrop>
  <LinksUpToDate>false</LinksUpToDate>
  <CharactersWithSpaces>2991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2021-11-02T02:45:00Z</dcterms:created>
  <dc:creator>WPS_1527834721</dc:creator>
  <cp:lastModifiedBy>利</cp:lastModifiedBy>
  <dcterms:modified xsi:type="dcterms:W3CDTF">2023-11-14T05:03:59Z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4D9AB731FAA940BAB3DEB68C40B3571C_13</vt:lpwstr>
  </property>
</Properties>
</file>